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D80" w:rsidRPr="00377D80" w:rsidRDefault="00377D80" w:rsidP="00377D80">
      <w:pPr>
        <w:widowControl/>
        <w:spacing w:afterLines="50" w:after="156" w:line="360" w:lineRule="auto"/>
        <w:ind w:firstLineChars="200" w:firstLine="482"/>
        <w:jc w:val="left"/>
        <w:outlineLvl w:val="0"/>
        <w:rPr>
          <w:rFonts w:ascii="宋体" w:eastAsia="宋体" w:hAnsi="宋体" w:cs="Arial"/>
          <w:b/>
          <w:color w:val="000000"/>
          <w:kern w:val="36"/>
          <w:sz w:val="24"/>
          <w:szCs w:val="24"/>
        </w:rPr>
      </w:pPr>
      <w:r>
        <w:rPr>
          <w:rFonts w:ascii="宋体" w:eastAsia="宋体" w:hAnsi="宋体" w:cs="Arial"/>
          <w:b/>
          <w:color w:val="000000"/>
          <w:kern w:val="36"/>
          <w:sz w:val="24"/>
          <w:szCs w:val="24"/>
        </w:rPr>
        <w:t>DRG/DIP</w:t>
      </w:r>
      <w:r w:rsidRPr="00377D80">
        <w:rPr>
          <w:rFonts w:ascii="宋体" w:eastAsia="宋体" w:hAnsi="宋体" w:cs="Arial"/>
          <w:b/>
          <w:color w:val="000000"/>
          <w:kern w:val="36"/>
          <w:sz w:val="24"/>
          <w:szCs w:val="24"/>
        </w:rPr>
        <w:t>支付改革对医疗设备管理的深远影响</w:t>
      </w:r>
    </w:p>
    <w:p w:rsidR="00377D80" w:rsidRDefault="00377D80" w:rsidP="00377D80">
      <w:pPr>
        <w:widowControl/>
        <w:spacing w:afterLines="50" w:after="156" w:line="360" w:lineRule="auto"/>
        <w:ind w:firstLineChars="200" w:firstLine="480"/>
        <w:jc w:val="left"/>
        <w:rPr>
          <w:rFonts w:ascii="宋体" w:eastAsia="宋体" w:hAnsi="宋体" w:cs="Arial"/>
          <w:color w:val="000000"/>
          <w:kern w:val="0"/>
          <w:sz w:val="24"/>
          <w:szCs w:val="24"/>
        </w:rPr>
      </w:pPr>
      <w:r w:rsidRPr="00377D80">
        <w:rPr>
          <w:rFonts w:ascii="宋体" w:eastAsia="宋体" w:hAnsi="宋体" w:cs="Arial"/>
          <w:color w:val="000000"/>
          <w:kern w:val="0"/>
          <w:sz w:val="24"/>
          <w:szCs w:val="24"/>
        </w:rPr>
        <w:t>随着DRG</w:t>
      </w:r>
      <w:r>
        <w:rPr>
          <w:rFonts w:ascii="宋体" w:eastAsia="宋体" w:hAnsi="宋体" w:cs="Arial"/>
          <w:color w:val="000000"/>
          <w:kern w:val="0"/>
          <w:sz w:val="24"/>
          <w:szCs w:val="24"/>
        </w:rPr>
        <w:t>（</w:t>
      </w:r>
      <w:r w:rsidRPr="00377D80">
        <w:rPr>
          <w:rFonts w:ascii="宋体" w:eastAsia="宋体" w:hAnsi="宋体" w:cs="Arial"/>
          <w:color w:val="000000"/>
          <w:kern w:val="0"/>
          <w:sz w:val="24"/>
          <w:szCs w:val="24"/>
        </w:rPr>
        <w:t>Diagnosis Related Groups</w:t>
      </w:r>
      <w:r w:rsidRPr="00377D80">
        <w:rPr>
          <w:rFonts w:ascii="宋体" w:eastAsia="宋体" w:hAnsi="宋体" w:cs="Arial"/>
          <w:color w:val="000000"/>
          <w:kern w:val="0"/>
          <w:sz w:val="24"/>
          <w:szCs w:val="24"/>
        </w:rPr>
        <w:t>,疾病诊断相关分组）与 DIP（</w:t>
      </w:r>
      <w:r w:rsidR="00B72AB3" w:rsidRPr="00B72AB3">
        <w:rPr>
          <w:rFonts w:ascii="宋体" w:eastAsia="宋体" w:hAnsi="宋体" w:cs="Arial" w:hint="eastAsia"/>
          <w:color w:val="000000"/>
          <w:kern w:val="0"/>
          <w:sz w:val="24"/>
          <w:szCs w:val="24"/>
        </w:rPr>
        <w:t>：</w:t>
      </w:r>
      <w:r w:rsidR="00B72AB3" w:rsidRPr="00B72AB3">
        <w:rPr>
          <w:rFonts w:ascii="宋体" w:eastAsia="宋体" w:hAnsi="宋体" w:cs="Arial"/>
          <w:color w:val="000000"/>
          <w:kern w:val="0"/>
          <w:sz w:val="24"/>
          <w:szCs w:val="24"/>
        </w:rPr>
        <w:t>Diagnosis-Intervention Packet</w:t>
      </w:r>
      <w:r w:rsidR="00B72AB3">
        <w:rPr>
          <w:rFonts w:ascii="宋体" w:eastAsia="宋体" w:hAnsi="宋体" w:cs="Arial" w:hint="eastAsia"/>
          <w:color w:val="000000"/>
          <w:kern w:val="0"/>
          <w:sz w:val="24"/>
          <w:szCs w:val="24"/>
        </w:rPr>
        <w:t>，</w:t>
      </w:r>
      <w:r w:rsidRPr="00377D80">
        <w:rPr>
          <w:rFonts w:ascii="宋体" w:eastAsia="宋体" w:hAnsi="宋体" w:cs="Arial"/>
          <w:color w:val="000000"/>
          <w:kern w:val="0"/>
          <w:sz w:val="24"/>
          <w:szCs w:val="24"/>
        </w:rPr>
        <w:t>按病种分值付费）支付改革在全国医疗机构全面落地，我国医保支付方式正从传统“按项目付费</w:t>
      </w:r>
      <w:r>
        <w:rPr>
          <w:rFonts w:ascii="宋体" w:eastAsia="宋体" w:hAnsi="宋体" w:cs="Arial"/>
          <w:color w:val="000000"/>
          <w:kern w:val="0"/>
          <w:sz w:val="24"/>
          <w:szCs w:val="24"/>
        </w:rPr>
        <w:t>”</w:t>
      </w:r>
      <w:r w:rsidRPr="00377D80">
        <w:rPr>
          <w:rFonts w:ascii="宋体" w:eastAsia="宋体" w:hAnsi="宋体" w:cs="Arial"/>
          <w:color w:val="000000"/>
          <w:kern w:val="0"/>
          <w:sz w:val="24"/>
          <w:szCs w:val="24"/>
        </w:rPr>
        <w:t>的后付制，向“打包付费、结余留用、超支自担</w:t>
      </w:r>
      <w:r>
        <w:rPr>
          <w:rFonts w:ascii="宋体" w:eastAsia="宋体" w:hAnsi="宋体" w:cs="Arial"/>
          <w:color w:val="000000"/>
          <w:kern w:val="0"/>
          <w:sz w:val="24"/>
          <w:szCs w:val="24"/>
        </w:rPr>
        <w:t>”</w:t>
      </w:r>
      <w:r w:rsidRPr="00377D80">
        <w:rPr>
          <w:rFonts w:ascii="宋体" w:eastAsia="宋体" w:hAnsi="宋体" w:cs="Arial"/>
          <w:color w:val="000000"/>
          <w:kern w:val="0"/>
          <w:sz w:val="24"/>
          <w:szCs w:val="24"/>
        </w:rPr>
        <w:t>的预付制深度转型。这场改革对医疗设备管理的全流程</w:t>
      </w:r>
      <w:r>
        <w:rPr>
          <w:rFonts w:ascii="宋体" w:eastAsia="宋体" w:hAnsi="宋体" w:cs="Arial"/>
          <w:color w:val="000000"/>
          <w:kern w:val="0"/>
          <w:sz w:val="24"/>
          <w:szCs w:val="24"/>
        </w:rPr>
        <w:t>——</w:t>
      </w:r>
      <w:r w:rsidRPr="00377D80">
        <w:rPr>
          <w:rFonts w:ascii="宋体" w:eastAsia="宋体" w:hAnsi="宋体" w:cs="Arial"/>
          <w:color w:val="000000"/>
          <w:kern w:val="0"/>
          <w:sz w:val="24"/>
          <w:szCs w:val="24"/>
        </w:rPr>
        <w:t>从采购规划、配</w:t>
      </w:r>
      <w:r w:rsidR="00B72AB3">
        <w:rPr>
          <w:rFonts w:ascii="宋体" w:eastAsia="宋体" w:hAnsi="宋体" w:cs="Arial"/>
          <w:color w:val="000000"/>
          <w:kern w:val="0"/>
          <w:sz w:val="24"/>
          <w:szCs w:val="24"/>
        </w:rPr>
        <w:t>置使用、运维管控到价值评估，带来颠覆性、深远性的变革。医疗设备</w:t>
      </w:r>
      <w:r w:rsidRPr="00377D80">
        <w:rPr>
          <w:rFonts w:ascii="宋体" w:eastAsia="宋体" w:hAnsi="宋体" w:cs="Arial"/>
          <w:color w:val="000000"/>
          <w:kern w:val="0"/>
          <w:sz w:val="24"/>
          <w:szCs w:val="24"/>
        </w:rPr>
        <w:t>加速转变为</w:t>
      </w:r>
      <w:r>
        <w:rPr>
          <w:rFonts w:ascii="宋体" w:eastAsia="宋体" w:hAnsi="宋体" w:cs="Arial"/>
          <w:color w:val="000000"/>
          <w:kern w:val="0"/>
          <w:sz w:val="24"/>
          <w:szCs w:val="24"/>
        </w:rPr>
        <w:t>DRG/DIP</w:t>
      </w:r>
      <w:r w:rsidRPr="00377D80">
        <w:rPr>
          <w:rFonts w:ascii="宋体" w:eastAsia="宋体" w:hAnsi="宋体" w:cs="Arial"/>
          <w:color w:val="000000"/>
          <w:kern w:val="0"/>
          <w:sz w:val="24"/>
          <w:szCs w:val="24"/>
        </w:rPr>
        <w:t>病组成本结构的核心组成部分，精细化、数字化、价值化的设备管理新模式，成为医院适应改革、保障质量、实现可持续发展的关键能力。</w:t>
      </w:r>
    </w:p>
    <w:p w:rsidR="00B72AB3" w:rsidRPr="00377D80" w:rsidRDefault="00B72AB3" w:rsidP="00FF5B10">
      <w:pPr>
        <w:widowControl/>
        <w:spacing w:afterLines="50" w:after="156" w:line="360" w:lineRule="auto"/>
        <w:jc w:val="center"/>
        <w:rPr>
          <w:rFonts w:ascii="宋体" w:eastAsia="宋体" w:hAnsi="宋体" w:cs="Arial" w:hint="eastAsia"/>
          <w:color w:val="000000"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22964490" wp14:editId="451A1229">
            <wp:extent cx="4195763" cy="377598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96725" cy="3776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77D80" w:rsidRPr="00377D80" w:rsidRDefault="00377D80" w:rsidP="00377D80">
      <w:pPr>
        <w:widowControl/>
        <w:spacing w:afterLines="50" w:after="156" w:line="360" w:lineRule="auto"/>
        <w:ind w:firstLineChars="200" w:firstLine="482"/>
        <w:jc w:val="left"/>
        <w:outlineLvl w:val="2"/>
        <w:rPr>
          <w:rFonts w:ascii="宋体" w:eastAsia="宋体" w:hAnsi="宋体" w:cs="Arial"/>
          <w:b/>
          <w:color w:val="000000"/>
          <w:kern w:val="0"/>
          <w:sz w:val="24"/>
          <w:szCs w:val="24"/>
        </w:rPr>
      </w:pPr>
      <w:r w:rsidRPr="00377D80">
        <w:rPr>
          <w:rFonts w:ascii="宋体" w:eastAsia="宋体" w:hAnsi="宋体" w:cs="Arial"/>
          <w:b/>
          <w:color w:val="000000"/>
          <w:kern w:val="0"/>
          <w:sz w:val="24"/>
          <w:szCs w:val="24"/>
        </w:rPr>
        <w:t>管理逻辑重构：从“规模扩张</w:t>
      </w:r>
      <w:r>
        <w:rPr>
          <w:rFonts w:ascii="宋体" w:eastAsia="宋体" w:hAnsi="宋体" w:cs="Arial"/>
          <w:b/>
          <w:color w:val="000000"/>
          <w:kern w:val="0"/>
          <w:sz w:val="24"/>
          <w:szCs w:val="24"/>
        </w:rPr>
        <w:t>”</w:t>
      </w:r>
      <w:r w:rsidRPr="00377D80">
        <w:rPr>
          <w:rFonts w:ascii="宋体" w:eastAsia="宋体" w:hAnsi="宋体" w:cs="Arial"/>
          <w:b/>
          <w:color w:val="000000"/>
          <w:kern w:val="0"/>
          <w:sz w:val="24"/>
          <w:szCs w:val="24"/>
        </w:rPr>
        <w:t>到“价值导向</w:t>
      </w:r>
      <w:r>
        <w:rPr>
          <w:rFonts w:ascii="宋体" w:eastAsia="宋体" w:hAnsi="宋体" w:cs="Arial"/>
          <w:b/>
          <w:color w:val="000000"/>
          <w:kern w:val="0"/>
          <w:sz w:val="24"/>
          <w:szCs w:val="24"/>
        </w:rPr>
        <w:t>”</w:t>
      </w:r>
      <w:r w:rsidRPr="00377D80">
        <w:rPr>
          <w:rFonts w:ascii="宋体" w:eastAsia="宋体" w:hAnsi="宋体" w:cs="Arial"/>
          <w:b/>
          <w:color w:val="000000"/>
          <w:kern w:val="0"/>
          <w:sz w:val="24"/>
          <w:szCs w:val="24"/>
        </w:rPr>
        <w:t>的根本转变</w:t>
      </w:r>
    </w:p>
    <w:p w:rsidR="00377D80" w:rsidRPr="00377D80" w:rsidRDefault="00377D80" w:rsidP="00377D80">
      <w:pPr>
        <w:widowControl/>
        <w:spacing w:afterLines="50" w:after="156" w:line="360" w:lineRule="auto"/>
        <w:ind w:firstLineChars="200" w:firstLine="480"/>
        <w:jc w:val="left"/>
        <w:rPr>
          <w:rFonts w:ascii="宋体" w:eastAsia="宋体" w:hAnsi="宋体" w:cs="Arial"/>
          <w:color w:val="000000"/>
          <w:kern w:val="0"/>
          <w:sz w:val="24"/>
          <w:szCs w:val="24"/>
        </w:rPr>
      </w:pPr>
      <w:r w:rsidRPr="00377D80">
        <w:rPr>
          <w:rFonts w:ascii="宋体" w:eastAsia="宋体" w:hAnsi="宋体" w:cs="Arial"/>
          <w:color w:val="000000"/>
          <w:kern w:val="0"/>
          <w:sz w:val="24"/>
          <w:szCs w:val="24"/>
        </w:rPr>
        <w:t>传统医疗设备管理以学科发展、技术升级、诊疗覆盖为核心，采购决策侧重技术参数、品牌口碑与临床需求，设备运行以“保障使用、提升收入</w:t>
      </w:r>
      <w:r>
        <w:rPr>
          <w:rFonts w:ascii="宋体" w:eastAsia="宋体" w:hAnsi="宋体" w:cs="Arial"/>
          <w:color w:val="000000"/>
          <w:kern w:val="0"/>
          <w:sz w:val="24"/>
          <w:szCs w:val="24"/>
        </w:rPr>
        <w:t>”</w:t>
      </w:r>
      <w:r w:rsidRPr="00377D80">
        <w:rPr>
          <w:rFonts w:ascii="宋体" w:eastAsia="宋体" w:hAnsi="宋体" w:cs="Arial"/>
          <w:color w:val="000000"/>
          <w:kern w:val="0"/>
          <w:sz w:val="24"/>
          <w:szCs w:val="24"/>
        </w:rPr>
        <w:t>为目标，管理模式偏粗放。</w:t>
      </w:r>
      <w:r>
        <w:rPr>
          <w:rFonts w:ascii="宋体" w:eastAsia="宋体" w:hAnsi="宋体" w:cs="Arial"/>
          <w:color w:val="000000"/>
          <w:kern w:val="0"/>
          <w:sz w:val="24"/>
          <w:szCs w:val="24"/>
        </w:rPr>
        <w:t>DRG/DIP</w:t>
      </w:r>
      <w:r w:rsidRPr="00377D80">
        <w:rPr>
          <w:rFonts w:ascii="宋体" w:eastAsia="宋体" w:hAnsi="宋体" w:cs="Arial"/>
          <w:color w:val="000000"/>
          <w:kern w:val="0"/>
          <w:sz w:val="24"/>
          <w:szCs w:val="24"/>
        </w:rPr>
        <w:t>改革下，每个病组医保支付标准固定，设备购置成本、耗材消耗、运维费用、折旧损耗均直接计入病组成本，直接影响医院与科室盈亏。</w:t>
      </w:r>
    </w:p>
    <w:p w:rsidR="00377D80" w:rsidRPr="00377D80" w:rsidRDefault="00377D80" w:rsidP="00377D80">
      <w:pPr>
        <w:widowControl/>
        <w:spacing w:afterLines="50" w:after="156" w:line="360" w:lineRule="auto"/>
        <w:ind w:firstLineChars="200" w:firstLine="480"/>
        <w:jc w:val="left"/>
        <w:rPr>
          <w:rFonts w:ascii="宋体" w:eastAsia="宋体" w:hAnsi="宋体" w:cs="Arial"/>
          <w:color w:val="000000"/>
          <w:kern w:val="0"/>
          <w:sz w:val="24"/>
          <w:szCs w:val="24"/>
        </w:rPr>
      </w:pPr>
      <w:r>
        <w:rPr>
          <w:rFonts w:ascii="宋体" w:eastAsia="宋体" w:hAnsi="宋体" w:cs="Arial"/>
          <w:color w:val="000000"/>
          <w:kern w:val="0"/>
          <w:sz w:val="24"/>
          <w:szCs w:val="24"/>
        </w:rPr>
        <w:lastRenderedPageBreak/>
        <w:t>这一变化推动设备管理逻辑发生三大</w:t>
      </w:r>
      <w:r w:rsidRPr="00377D80">
        <w:rPr>
          <w:rFonts w:ascii="宋体" w:eastAsia="宋体" w:hAnsi="宋体" w:cs="Arial"/>
          <w:color w:val="000000"/>
          <w:kern w:val="0"/>
          <w:sz w:val="24"/>
          <w:szCs w:val="24"/>
        </w:rPr>
        <w:t>转变：</w:t>
      </w:r>
    </w:p>
    <w:p w:rsidR="00377D80" w:rsidRPr="00377D80" w:rsidRDefault="00377D80" w:rsidP="00377D80">
      <w:pPr>
        <w:widowControl/>
        <w:numPr>
          <w:ilvl w:val="0"/>
          <w:numId w:val="1"/>
        </w:numPr>
        <w:spacing w:afterLines="50" w:after="156" w:line="360" w:lineRule="auto"/>
        <w:ind w:left="0" w:firstLineChars="200" w:firstLine="482"/>
        <w:jc w:val="left"/>
        <w:rPr>
          <w:rFonts w:ascii="宋体" w:eastAsia="宋体" w:hAnsi="宋体" w:cs="Arial"/>
          <w:color w:val="000000"/>
          <w:kern w:val="0"/>
          <w:sz w:val="24"/>
          <w:szCs w:val="24"/>
        </w:rPr>
      </w:pPr>
      <w:r w:rsidRPr="00377D80">
        <w:rPr>
          <w:rFonts w:ascii="宋体" w:eastAsia="宋体" w:hAnsi="宋体" w:cs="Arial"/>
          <w:b/>
          <w:bCs/>
          <w:color w:val="000000"/>
          <w:kern w:val="0"/>
          <w:sz w:val="24"/>
          <w:szCs w:val="24"/>
        </w:rPr>
        <w:t>从 “创收工具” 到 “成本中心”</w:t>
      </w:r>
      <w:r w:rsidRPr="00377D80">
        <w:rPr>
          <w:rFonts w:ascii="宋体" w:eastAsia="宋体" w:hAnsi="宋体" w:cs="Arial"/>
          <w:color w:val="000000"/>
          <w:kern w:val="0"/>
          <w:sz w:val="24"/>
          <w:szCs w:val="24"/>
        </w:rPr>
        <w:t>：设备不再是增加检查、治疗收入的手段，而是需严格管控的成本单元，每台设备的使用效率、耗材消耗、运维支出，都直接关联 DRG/DIP 病组成本是否可控。</w:t>
      </w:r>
    </w:p>
    <w:p w:rsidR="00377D80" w:rsidRPr="00377D80" w:rsidRDefault="00377D80" w:rsidP="00377D80">
      <w:pPr>
        <w:widowControl/>
        <w:numPr>
          <w:ilvl w:val="0"/>
          <w:numId w:val="1"/>
        </w:numPr>
        <w:spacing w:afterLines="50" w:after="156" w:line="360" w:lineRule="auto"/>
        <w:ind w:left="0" w:firstLineChars="200" w:firstLine="482"/>
        <w:jc w:val="left"/>
        <w:rPr>
          <w:rFonts w:ascii="宋体" w:eastAsia="宋体" w:hAnsi="宋体" w:cs="Arial"/>
          <w:color w:val="000000"/>
          <w:kern w:val="0"/>
          <w:sz w:val="24"/>
          <w:szCs w:val="24"/>
        </w:rPr>
      </w:pPr>
      <w:r w:rsidRPr="00377D80">
        <w:rPr>
          <w:rFonts w:ascii="宋体" w:eastAsia="宋体" w:hAnsi="宋体" w:cs="Arial"/>
          <w:b/>
          <w:bCs/>
          <w:color w:val="000000"/>
          <w:kern w:val="0"/>
          <w:sz w:val="24"/>
          <w:szCs w:val="24"/>
        </w:rPr>
        <w:t>从 “学科导向” 到 “病种导向”</w:t>
      </w:r>
      <w:r w:rsidRPr="00377D80">
        <w:rPr>
          <w:rFonts w:ascii="宋体" w:eastAsia="宋体" w:hAnsi="宋体" w:cs="Arial"/>
          <w:color w:val="000000"/>
          <w:kern w:val="0"/>
          <w:sz w:val="24"/>
          <w:szCs w:val="24"/>
        </w:rPr>
        <w:t>：设备配置不再单纯围绕学科建设，而是紧密匹配医院 DRG/DIP 病组结构，优先保障高 CMI（病例组合指数）病种、核心诊疗病种所需设备，淘汰低效益、低使用率设备。</w:t>
      </w:r>
    </w:p>
    <w:p w:rsidR="00377D80" w:rsidRPr="00377D80" w:rsidRDefault="00377D80" w:rsidP="00377D80">
      <w:pPr>
        <w:widowControl/>
        <w:numPr>
          <w:ilvl w:val="0"/>
          <w:numId w:val="1"/>
        </w:numPr>
        <w:spacing w:afterLines="50" w:after="156" w:line="360" w:lineRule="auto"/>
        <w:ind w:left="0" w:firstLineChars="200" w:firstLine="482"/>
        <w:jc w:val="left"/>
        <w:rPr>
          <w:rFonts w:ascii="宋体" w:eastAsia="宋体" w:hAnsi="宋体" w:cs="Arial"/>
          <w:color w:val="000000"/>
          <w:kern w:val="0"/>
          <w:sz w:val="24"/>
          <w:szCs w:val="24"/>
        </w:rPr>
      </w:pPr>
      <w:r w:rsidRPr="00377D80">
        <w:rPr>
          <w:rFonts w:ascii="宋体" w:eastAsia="宋体" w:hAnsi="宋体" w:cs="Arial"/>
          <w:b/>
          <w:bCs/>
          <w:color w:val="000000"/>
          <w:kern w:val="0"/>
          <w:sz w:val="24"/>
          <w:szCs w:val="24"/>
        </w:rPr>
        <w:t>从 “重采购、轻管理” 到 “全生命周期管控”</w:t>
      </w:r>
      <w:r w:rsidRPr="00377D80">
        <w:rPr>
          <w:rFonts w:ascii="宋体" w:eastAsia="宋体" w:hAnsi="宋体" w:cs="Arial"/>
          <w:color w:val="000000"/>
          <w:kern w:val="0"/>
          <w:sz w:val="24"/>
          <w:szCs w:val="24"/>
        </w:rPr>
        <w:t>：管理重心从单一采购环节，延伸至采购、使用、运维、折旧、报废全流程，核心目标从 “拥有设备” 转向 “高效利用设备、最大化临床价值与成本效益”。</w:t>
      </w:r>
    </w:p>
    <w:p w:rsidR="00377D80" w:rsidRPr="00377D80" w:rsidRDefault="00377D80" w:rsidP="00377D80">
      <w:pPr>
        <w:widowControl/>
        <w:spacing w:afterLines="50" w:after="156" w:line="360" w:lineRule="auto"/>
        <w:ind w:firstLineChars="200" w:firstLine="482"/>
        <w:jc w:val="left"/>
        <w:outlineLvl w:val="2"/>
        <w:rPr>
          <w:rFonts w:ascii="宋体" w:eastAsia="宋体" w:hAnsi="宋体" w:cs="Arial"/>
          <w:b/>
          <w:color w:val="000000"/>
          <w:kern w:val="0"/>
          <w:sz w:val="24"/>
          <w:szCs w:val="24"/>
        </w:rPr>
      </w:pPr>
      <w:r w:rsidRPr="00377D80">
        <w:rPr>
          <w:rFonts w:ascii="宋体" w:eastAsia="宋体" w:hAnsi="宋体" w:cs="Arial"/>
          <w:b/>
          <w:color w:val="000000"/>
          <w:kern w:val="0"/>
          <w:sz w:val="24"/>
          <w:szCs w:val="24"/>
        </w:rPr>
        <w:t>采购规划变革：精准配置、性价比与全生命周期成本成核心标准</w:t>
      </w:r>
    </w:p>
    <w:p w:rsidR="00377D80" w:rsidRPr="00377D80" w:rsidRDefault="00377D80" w:rsidP="00377D80">
      <w:pPr>
        <w:widowControl/>
        <w:spacing w:afterLines="50" w:after="156" w:line="360" w:lineRule="auto"/>
        <w:ind w:firstLineChars="200" w:firstLine="480"/>
        <w:jc w:val="left"/>
        <w:rPr>
          <w:rFonts w:ascii="宋体" w:eastAsia="宋体" w:hAnsi="宋体" w:cs="Arial"/>
          <w:color w:val="000000"/>
          <w:kern w:val="0"/>
          <w:sz w:val="24"/>
          <w:szCs w:val="24"/>
        </w:rPr>
      </w:pPr>
      <w:r>
        <w:rPr>
          <w:rFonts w:ascii="宋体" w:eastAsia="宋体" w:hAnsi="宋体" w:cs="Arial"/>
          <w:color w:val="000000"/>
          <w:kern w:val="0"/>
          <w:sz w:val="24"/>
          <w:szCs w:val="24"/>
        </w:rPr>
        <w:t>DRG/DIP</w:t>
      </w:r>
      <w:r w:rsidRPr="00377D80">
        <w:rPr>
          <w:rFonts w:ascii="宋体" w:eastAsia="宋体" w:hAnsi="宋体" w:cs="Arial"/>
          <w:color w:val="000000"/>
          <w:kern w:val="0"/>
          <w:sz w:val="24"/>
          <w:szCs w:val="24"/>
        </w:rPr>
        <w:t>支付下，医院设备采购彻底告别 “盲目扩量、唯技术论、唯品牌论”，转向</w:t>
      </w:r>
      <w:r w:rsidRPr="00377D80">
        <w:rPr>
          <w:rFonts w:ascii="宋体" w:eastAsia="宋体" w:hAnsi="宋体" w:cs="Arial"/>
          <w:b/>
          <w:bCs/>
          <w:color w:val="000000"/>
          <w:kern w:val="0"/>
          <w:sz w:val="24"/>
          <w:szCs w:val="24"/>
        </w:rPr>
        <w:t>数据驱动、精准测算、价值优先</w:t>
      </w:r>
      <w:r w:rsidRPr="00377D80">
        <w:rPr>
          <w:rFonts w:ascii="宋体" w:eastAsia="宋体" w:hAnsi="宋体" w:cs="Arial"/>
          <w:color w:val="000000"/>
          <w:kern w:val="0"/>
          <w:sz w:val="24"/>
          <w:szCs w:val="24"/>
        </w:rPr>
        <w:t>的精细化采购模式。</w:t>
      </w:r>
    </w:p>
    <w:p w:rsidR="00377D80" w:rsidRPr="00377D80" w:rsidRDefault="00377D80" w:rsidP="00377D80">
      <w:pPr>
        <w:widowControl/>
        <w:numPr>
          <w:ilvl w:val="0"/>
          <w:numId w:val="2"/>
        </w:numPr>
        <w:spacing w:afterLines="50" w:after="156" w:line="360" w:lineRule="auto"/>
        <w:ind w:left="0" w:firstLineChars="200" w:firstLine="482"/>
        <w:jc w:val="left"/>
        <w:rPr>
          <w:rFonts w:ascii="宋体" w:eastAsia="宋体" w:hAnsi="宋体" w:cs="Arial"/>
          <w:color w:val="000000"/>
          <w:kern w:val="0"/>
          <w:sz w:val="24"/>
          <w:szCs w:val="24"/>
        </w:rPr>
      </w:pPr>
      <w:r w:rsidRPr="00377D80">
        <w:rPr>
          <w:rFonts w:ascii="宋体" w:eastAsia="宋体" w:hAnsi="宋体" w:cs="Arial"/>
          <w:b/>
          <w:bCs/>
          <w:color w:val="000000"/>
          <w:kern w:val="0"/>
          <w:sz w:val="24"/>
          <w:szCs w:val="24"/>
        </w:rPr>
        <w:t>采购决策：以病组成本与效益为核心依据</w:t>
      </w:r>
    </w:p>
    <w:p w:rsidR="00377D80" w:rsidRPr="00377D80" w:rsidRDefault="00377D80" w:rsidP="00377D80">
      <w:pPr>
        <w:widowControl/>
        <w:spacing w:afterLines="50" w:after="156" w:line="360" w:lineRule="auto"/>
        <w:ind w:firstLineChars="200" w:firstLine="480"/>
        <w:jc w:val="left"/>
        <w:rPr>
          <w:rFonts w:ascii="宋体" w:eastAsia="宋体" w:hAnsi="宋体" w:cs="Arial"/>
          <w:color w:val="000000"/>
          <w:kern w:val="0"/>
          <w:sz w:val="24"/>
          <w:szCs w:val="24"/>
        </w:rPr>
      </w:pPr>
      <w:r w:rsidRPr="00377D80">
        <w:rPr>
          <w:rFonts w:ascii="宋体" w:eastAsia="宋体" w:hAnsi="宋体" w:cs="Arial"/>
          <w:color w:val="000000"/>
          <w:kern w:val="0"/>
          <w:sz w:val="24"/>
          <w:szCs w:val="24"/>
        </w:rPr>
        <w:t>采购前需全面评估设备与</w:t>
      </w:r>
      <w:r>
        <w:rPr>
          <w:rFonts w:ascii="宋体" w:eastAsia="宋体" w:hAnsi="宋体" w:cs="Arial"/>
          <w:color w:val="000000"/>
          <w:kern w:val="0"/>
          <w:sz w:val="24"/>
          <w:szCs w:val="24"/>
        </w:rPr>
        <w:t>DRG/DIP</w:t>
      </w:r>
      <w:r w:rsidRPr="00377D80">
        <w:rPr>
          <w:rFonts w:ascii="宋体" w:eastAsia="宋体" w:hAnsi="宋体" w:cs="Arial"/>
          <w:color w:val="000000"/>
          <w:kern w:val="0"/>
          <w:sz w:val="24"/>
          <w:szCs w:val="24"/>
        </w:rPr>
        <w:t>病组的匹配度：测算设备服务病种的支付标准、预计使用频次、单病例设备及耗材消耗成本，评估设备投入能否在病组支付标准内实现成本覆盖与效益平衡。优先采购 “高适配、高产出、低消耗” 设备，对超出病组成本承受能力、效益不达标的设备，坚决不予配置。</w:t>
      </w:r>
    </w:p>
    <w:p w:rsidR="00377D80" w:rsidRPr="00377D80" w:rsidRDefault="00377D80" w:rsidP="00377D80">
      <w:pPr>
        <w:widowControl/>
        <w:numPr>
          <w:ilvl w:val="0"/>
          <w:numId w:val="2"/>
        </w:numPr>
        <w:spacing w:afterLines="50" w:after="156" w:line="360" w:lineRule="auto"/>
        <w:ind w:left="0" w:firstLineChars="200" w:firstLine="482"/>
        <w:jc w:val="left"/>
        <w:rPr>
          <w:rFonts w:ascii="宋体" w:eastAsia="宋体" w:hAnsi="宋体" w:cs="Arial"/>
          <w:color w:val="000000"/>
          <w:kern w:val="0"/>
          <w:sz w:val="24"/>
          <w:szCs w:val="24"/>
        </w:rPr>
      </w:pPr>
      <w:r w:rsidRPr="00377D80">
        <w:rPr>
          <w:rFonts w:ascii="宋体" w:eastAsia="宋体" w:hAnsi="宋体" w:cs="Arial"/>
          <w:b/>
          <w:bCs/>
          <w:color w:val="000000"/>
          <w:kern w:val="0"/>
          <w:sz w:val="24"/>
          <w:szCs w:val="24"/>
        </w:rPr>
        <w:t>评估维度：从单一价格到全生命周期成本（LCC）</w:t>
      </w:r>
    </w:p>
    <w:p w:rsidR="00377D80" w:rsidRPr="00377D80" w:rsidRDefault="00377D80" w:rsidP="00377D80">
      <w:pPr>
        <w:widowControl/>
        <w:spacing w:afterLines="50" w:after="156" w:line="360" w:lineRule="auto"/>
        <w:ind w:firstLineChars="200" w:firstLine="480"/>
        <w:jc w:val="left"/>
        <w:rPr>
          <w:rFonts w:ascii="宋体" w:eastAsia="宋体" w:hAnsi="宋体" w:cs="Arial"/>
          <w:color w:val="000000"/>
          <w:kern w:val="0"/>
          <w:sz w:val="24"/>
          <w:szCs w:val="24"/>
        </w:rPr>
      </w:pPr>
      <w:r w:rsidRPr="00377D80">
        <w:rPr>
          <w:rFonts w:ascii="宋体" w:eastAsia="宋体" w:hAnsi="宋体" w:cs="Arial"/>
          <w:color w:val="000000"/>
          <w:kern w:val="0"/>
          <w:sz w:val="24"/>
          <w:szCs w:val="24"/>
        </w:rPr>
        <w:t>设备成本不再局限于采购价，而是涵盖采购、安装、培训、维保、耗材、能耗、维修、折旧直至报废的全部费用。采购决策需综合对比不同设备的全生命周期成本与临床产出效益，选择 “性价比最优” 方案，而非单纯低价或高端高价。同时强化供应商评估，将质保时长、维保响应速度、耗材供应稳定性、技术支持能力纳入核心指标。</w:t>
      </w:r>
    </w:p>
    <w:p w:rsidR="00377D80" w:rsidRPr="00377D80" w:rsidRDefault="00377D80" w:rsidP="00377D80">
      <w:pPr>
        <w:widowControl/>
        <w:numPr>
          <w:ilvl w:val="0"/>
          <w:numId w:val="2"/>
        </w:numPr>
        <w:spacing w:afterLines="50" w:after="156" w:line="360" w:lineRule="auto"/>
        <w:ind w:left="0" w:firstLineChars="200" w:firstLine="482"/>
        <w:jc w:val="left"/>
        <w:rPr>
          <w:rFonts w:ascii="宋体" w:eastAsia="宋体" w:hAnsi="宋体" w:cs="Arial"/>
          <w:color w:val="000000"/>
          <w:kern w:val="0"/>
          <w:sz w:val="24"/>
          <w:szCs w:val="24"/>
        </w:rPr>
      </w:pPr>
      <w:r w:rsidRPr="00377D80">
        <w:rPr>
          <w:rFonts w:ascii="宋体" w:eastAsia="宋体" w:hAnsi="宋体" w:cs="Arial"/>
          <w:b/>
          <w:bCs/>
          <w:color w:val="000000"/>
          <w:kern w:val="0"/>
          <w:sz w:val="24"/>
          <w:szCs w:val="24"/>
        </w:rPr>
        <w:t>配置策略：共享共用、盘活存量、严控重复</w:t>
      </w:r>
    </w:p>
    <w:p w:rsidR="00377D80" w:rsidRPr="00377D80" w:rsidRDefault="00377D80" w:rsidP="00377D80">
      <w:pPr>
        <w:widowControl/>
        <w:spacing w:afterLines="50" w:after="156" w:line="360" w:lineRule="auto"/>
        <w:ind w:firstLineChars="200" w:firstLine="480"/>
        <w:jc w:val="left"/>
        <w:rPr>
          <w:rFonts w:ascii="宋体" w:eastAsia="宋体" w:hAnsi="宋体" w:cs="Arial"/>
          <w:color w:val="000000"/>
          <w:kern w:val="0"/>
          <w:sz w:val="24"/>
          <w:szCs w:val="24"/>
        </w:rPr>
      </w:pPr>
      <w:r w:rsidRPr="00377D80">
        <w:rPr>
          <w:rFonts w:ascii="宋体" w:eastAsia="宋体" w:hAnsi="宋体" w:cs="Arial"/>
          <w:color w:val="000000"/>
          <w:kern w:val="0"/>
          <w:sz w:val="24"/>
          <w:szCs w:val="24"/>
        </w:rPr>
        <w:lastRenderedPageBreak/>
        <w:t>推行跨科室设备共享机制，建设影像、检验、内镜、手术等中心化设备平台，避免 “一科一机” 的重复采购，摊薄设备使用成本；优先通过软件升级、部件更换、性能优化盘活存量设备，延长使用寿命、降低新增投入；严格控制高端设备、小众设备配置，仅针对核心病种、刚需诊疗场景按需配置。</w:t>
      </w:r>
    </w:p>
    <w:p w:rsidR="00377D80" w:rsidRPr="00377D80" w:rsidRDefault="00377D80" w:rsidP="00377D80">
      <w:pPr>
        <w:widowControl/>
        <w:spacing w:afterLines="50" w:after="156" w:line="360" w:lineRule="auto"/>
        <w:ind w:firstLineChars="200" w:firstLine="482"/>
        <w:jc w:val="left"/>
        <w:outlineLvl w:val="2"/>
        <w:rPr>
          <w:rFonts w:ascii="宋体" w:eastAsia="宋体" w:hAnsi="宋体" w:cs="Arial"/>
          <w:b/>
          <w:color w:val="000000"/>
          <w:kern w:val="0"/>
          <w:sz w:val="24"/>
          <w:szCs w:val="24"/>
        </w:rPr>
      </w:pPr>
      <w:r w:rsidRPr="00377D80">
        <w:rPr>
          <w:rFonts w:ascii="宋体" w:eastAsia="宋体" w:hAnsi="宋体" w:cs="Arial"/>
          <w:b/>
          <w:color w:val="000000"/>
          <w:kern w:val="0"/>
          <w:sz w:val="24"/>
          <w:szCs w:val="24"/>
        </w:rPr>
        <w:t>运行管控升级：精细化、数字化、闭环化成必然要求</w:t>
      </w:r>
    </w:p>
    <w:p w:rsidR="00377D80" w:rsidRPr="00377D80" w:rsidRDefault="00377D80" w:rsidP="00377D80">
      <w:pPr>
        <w:widowControl/>
        <w:spacing w:afterLines="50" w:after="156" w:line="360" w:lineRule="auto"/>
        <w:ind w:firstLineChars="200" w:firstLine="480"/>
        <w:jc w:val="left"/>
        <w:rPr>
          <w:rFonts w:ascii="宋体" w:eastAsia="宋体" w:hAnsi="宋体" w:cs="Arial"/>
          <w:color w:val="000000"/>
          <w:kern w:val="0"/>
          <w:sz w:val="24"/>
          <w:szCs w:val="24"/>
        </w:rPr>
      </w:pPr>
      <w:r w:rsidRPr="00377D80">
        <w:rPr>
          <w:rFonts w:ascii="宋体" w:eastAsia="宋体" w:hAnsi="宋体" w:cs="Arial"/>
          <w:color w:val="000000"/>
          <w:kern w:val="0"/>
          <w:sz w:val="24"/>
          <w:szCs w:val="24"/>
        </w:rPr>
        <w:t>DRG/DIP 改革要求设备使用与成本精准归因至单病例、单病组，传统人工记录、粗放管控模式已无法满足需求，</w:t>
      </w:r>
      <w:r w:rsidRPr="00377D80">
        <w:rPr>
          <w:rFonts w:ascii="宋体" w:eastAsia="宋体" w:hAnsi="宋体" w:cs="Arial"/>
          <w:b/>
          <w:bCs/>
          <w:color w:val="000000"/>
          <w:kern w:val="0"/>
          <w:sz w:val="24"/>
          <w:szCs w:val="24"/>
        </w:rPr>
        <w:t>数字化、精细化、闭环化</w:t>
      </w:r>
      <w:r w:rsidRPr="00377D80">
        <w:rPr>
          <w:rFonts w:ascii="宋体" w:eastAsia="宋体" w:hAnsi="宋体" w:cs="Arial"/>
          <w:color w:val="000000"/>
          <w:kern w:val="0"/>
          <w:sz w:val="24"/>
          <w:szCs w:val="24"/>
        </w:rPr>
        <w:t>成为设备运行管理的核心方向。</w:t>
      </w:r>
    </w:p>
    <w:p w:rsidR="00377D80" w:rsidRPr="00377D80" w:rsidRDefault="00377D80" w:rsidP="00377D80">
      <w:pPr>
        <w:widowControl/>
        <w:numPr>
          <w:ilvl w:val="0"/>
          <w:numId w:val="3"/>
        </w:numPr>
        <w:spacing w:afterLines="50" w:after="156" w:line="360" w:lineRule="auto"/>
        <w:ind w:left="0" w:firstLineChars="200" w:firstLine="482"/>
        <w:jc w:val="left"/>
        <w:rPr>
          <w:rFonts w:ascii="宋体" w:eastAsia="宋体" w:hAnsi="宋体" w:cs="Arial"/>
          <w:color w:val="000000"/>
          <w:kern w:val="0"/>
          <w:sz w:val="24"/>
          <w:szCs w:val="24"/>
        </w:rPr>
      </w:pPr>
      <w:r w:rsidRPr="00377D80">
        <w:rPr>
          <w:rFonts w:ascii="宋体" w:eastAsia="宋体" w:hAnsi="宋体" w:cs="Arial"/>
          <w:b/>
          <w:bCs/>
          <w:color w:val="000000"/>
          <w:kern w:val="0"/>
          <w:sz w:val="24"/>
          <w:szCs w:val="24"/>
        </w:rPr>
        <w:t>成本精准核算：设备使用与病组成本深度绑定</w:t>
      </w:r>
    </w:p>
    <w:p w:rsidR="00377D80" w:rsidRPr="00377D80" w:rsidRDefault="00377D80" w:rsidP="00377D80">
      <w:pPr>
        <w:widowControl/>
        <w:spacing w:afterLines="50" w:after="156" w:line="360" w:lineRule="auto"/>
        <w:ind w:firstLineChars="200" w:firstLine="480"/>
        <w:jc w:val="left"/>
        <w:rPr>
          <w:rFonts w:ascii="宋体" w:eastAsia="宋体" w:hAnsi="宋体" w:cs="Arial"/>
          <w:color w:val="000000"/>
          <w:kern w:val="0"/>
          <w:sz w:val="24"/>
          <w:szCs w:val="24"/>
        </w:rPr>
      </w:pPr>
      <w:r w:rsidRPr="00377D80">
        <w:rPr>
          <w:rFonts w:ascii="宋体" w:eastAsia="宋体" w:hAnsi="宋体" w:cs="Arial"/>
          <w:color w:val="000000"/>
          <w:kern w:val="0"/>
          <w:sz w:val="24"/>
          <w:szCs w:val="24"/>
        </w:rPr>
        <w:t>建立设备使用与</w:t>
      </w:r>
      <w:r>
        <w:rPr>
          <w:rFonts w:ascii="宋体" w:eastAsia="宋体" w:hAnsi="宋体" w:cs="Arial"/>
          <w:color w:val="000000"/>
          <w:kern w:val="0"/>
          <w:sz w:val="24"/>
          <w:szCs w:val="24"/>
        </w:rPr>
        <w:t>DRG/DIP</w:t>
      </w:r>
      <w:r w:rsidRPr="00377D80">
        <w:rPr>
          <w:rFonts w:ascii="宋体" w:eastAsia="宋体" w:hAnsi="宋体" w:cs="Arial"/>
          <w:color w:val="000000"/>
          <w:kern w:val="0"/>
          <w:sz w:val="24"/>
          <w:szCs w:val="24"/>
        </w:rPr>
        <w:t>病组的关联核算体系，实时统计单台设备、单个病种的设备使用时长、耗材消耗量、运维分摊成本，实现“一设备一档案、一病种一成本</w:t>
      </w:r>
      <w:r>
        <w:rPr>
          <w:rFonts w:ascii="宋体" w:eastAsia="宋体" w:hAnsi="宋体" w:cs="Arial"/>
          <w:color w:val="000000"/>
          <w:kern w:val="0"/>
          <w:sz w:val="24"/>
          <w:szCs w:val="24"/>
        </w:rPr>
        <w:t>”</w:t>
      </w:r>
      <w:r w:rsidRPr="00377D80">
        <w:rPr>
          <w:rFonts w:ascii="宋体" w:eastAsia="宋体" w:hAnsi="宋体" w:cs="Arial"/>
          <w:color w:val="000000"/>
          <w:kern w:val="0"/>
          <w:sz w:val="24"/>
          <w:szCs w:val="24"/>
        </w:rPr>
        <w:t>的精准核算。通过成本数据动态监测，及时预警超支病种、超耗设备，为临床路径优化、耗材使用规范提供数据支撑。</w:t>
      </w:r>
    </w:p>
    <w:p w:rsidR="00377D80" w:rsidRPr="00377D80" w:rsidRDefault="00377D80" w:rsidP="00377D80">
      <w:pPr>
        <w:widowControl/>
        <w:numPr>
          <w:ilvl w:val="0"/>
          <w:numId w:val="3"/>
        </w:numPr>
        <w:spacing w:afterLines="50" w:after="156" w:line="360" w:lineRule="auto"/>
        <w:ind w:left="0" w:firstLineChars="200" w:firstLine="482"/>
        <w:jc w:val="left"/>
        <w:rPr>
          <w:rFonts w:ascii="宋体" w:eastAsia="宋体" w:hAnsi="宋体" w:cs="Arial"/>
          <w:color w:val="000000"/>
          <w:kern w:val="0"/>
          <w:sz w:val="24"/>
          <w:szCs w:val="24"/>
        </w:rPr>
      </w:pPr>
      <w:r w:rsidRPr="00377D80">
        <w:rPr>
          <w:rFonts w:ascii="宋体" w:eastAsia="宋体" w:hAnsi="宋体" w:cs="Arial"/>
          <w:b/>
          <w:bCs/>
          <w:color w:val="000000"/>
          <w:kern w:val="0"/>
          <w:sz w:val="24"/>
          <w:szCs w:val="24"/>
        </w:rPr>
        <w:t>耗材智能管控：高值耗材全流程闭环追溯</w:t>
      </w:r>
    </w:p>
    <w:p w:rsidR="00377D80" w:rsidRPr="00377D80" w:rsidRDefault="00377D80" w:rsidP="00377D80">
      <w:pPr>
        <w:widowControl/>
        <w:spacing w:afterLines="50" w:after="156" w:line="360" w:lineRule="auto"/>
        <w:ind w:firstLineChars="200" w:firstLine="480"/>
        <w:jc w:val="left"/>
        <w:rPr>
          <w:rFonts w:ascii="宋体" w:eastAsia="宋体" w:hAnsi="宋体" w:cs="Arial"/>
          <w:color w:val="000000"/>
          <w:kern w:val="0"/>
          <w:sz w:val="24"/>
          <w:szCs w:val="24"/>
        </w:rPr>
      </w:pPr>
      <w:r w:rsidRPr="00377D80">
        <w:rPr>
          <w:rFonts w:ascii="宋体" w:eastAsia="宋体" w:hAnsi="宋体" w:cs="Arial"/>
          <w:color w:val="000000"/>
          <w:kern w:val="0"/>
          <w:sz w:val="24"/>
          <w:szCs w:val="24"/>
        </w:rPr>
        <w:t>高值耗材是 DRG/DIP 病组成本的重要构成，改革推动耗材管理从 “二级库粗放管理</w:t>
      </w:r>
      <w:r>
        <w:rPr>
          <w:rFonts w:ascii="宋体" w:eastAsia="宋体" w:hAnsi="宋体" w:cs="Arial"/>
          <w:color w:val="000000"/>
          <w:kern w:val="0"/>
          <w:sz w:val="24"/>
          <w:szCs w:val="24"/>
        </w:rPr>
        <w:t>”</w:t>
      </w:r>
      <w:r w:rsidRPr="00377D80">
        <w:rPr>
          <w:rFonts w:ascii="宋体" w:eastAsia="宋体" w:hAnsi="宋体" w:cs="Arial"/>
          <w:color w:val="000000"/>
          <w:kern w:val="0"/>
          <w:sz w:val="24"/>
          <w:szCs w:val="24"/>
        </w:rPr>
        <w:t>向 “RFID 智能柜、SPD 智能供应链</w:t>
      </w:r>
      <w:r>
        <w:rPr>
          <w:rFonts w:ascii="宋体" w:eastAsia="宋体" w:hAnsi="宋体" w:cs="Arial"/>
          <w:color w:val="000000"/>
          <w:kern w:val="0"/>
          <w:sz w:val="24"/>
          <w:szCs w:val="24"/>
        </w:rPr>
        <w:t>”</w:t>
      </w:r>
      <w:r w:rsidRPr="00377D80">
        <w:rPr>
          <w:rFonts w:ascii="宋体" w:eastAsia="宋体" w:hAnsi="宋体" w:cs="Arial"/>
          <w:color w:val="000000"/>
          <w:kern w:val="0"/>
          <w:sz w:val="24"/>
          <w:szCs w:val="24"/>
        </w:rPr>
        <w:t>升级。通过物联网、二维码 / RFID 技术，实现耗材从采购、入库、申领、使用到结算的全流程追溯，精准记录耗材使用病例、术式、医师，杜绝浪费、流失、误用，确保耗材成本 100% 归因至对应病组。</w:t>
      </w:r>
    </w:p>
    <w:p w:rsidR="00377D80" w:rsidRPr="00377D80" w:rsidRDefault="00377D80" w:rsidP="00377D80">
      <w:pPr>
        <w:widowControl/>
        <w:numPr>
          <w:ilvl w:val="0"/>
          <w:numId w:val="3"/>
        </w:numPr>
        <w:spacing w:afterLines="50" w:after="156" w:line="360" w:lineRule="auto"/>
        <w:ind w:left="0" w:firstLineChars="200" w:firstLine="482"/>
        <w:jc w:val="left"/>
        <w:rPr>
          <w:rFonts w:ascii="宋体" w:eastAsia="宋体" w:hAnsi="宋体" w:cs="Arial"/>
          <w:color w:val="000000"/>
          <w:kern w:val="0"/>
          <w:sz w:val="24"/>
          <w:szCs w:val="24"/>
        </w:rPr>
      </w:pPr>
      <w:r w:rsidRPr="00377D80">
        <w:rPr>
          <w:rFonts w:ascii="宋体" w:eastAsia="宋体" w:hAnsi="宋体" w:cs="Arial"/>
          <w:b/>
          <w:bCs/>
          <w:color w:val="000000"/>
          <w:kern w:val="0"/>
          <w:sz w:val="24"/>
          <w:szCs w:val="24"/>
        </w:rPr>
        <w:t>运维模式优化：从被动维修到预防性维护</w:t>
      </w:r>
    </w:p>
    <w:p w:rsidR="00377D80" w:rsidRPr="00377D80" w:rsidRDefault="00377D80" w:rsidP="00377D80">
      <w:pPr>
        <w:widowControl/>
        <w:spacing w:afterLines="50" w:after="156" w:line="360" w:lineRule="auto"/>
        <w:ind w:firstLineChars="200" w:firstLine="480"/>
        <w:jc w:val="left"/>
        <w:rPr>
          <w:rFonts w:ascii="宋体" w:eastAsia="宋体" w:hAnsi="宋体" w:cs="Arial"/>
          <w:color w:val="000000"/>
          <w:kern w:val="0"/>
          <w:sz w:val="24"/>
          <w:szCs w:val="24"/>
        </w:rPr>
      </w:pPr>
      <w:r w:rsidRPr="00377D80">
        <w:rPr>
          <w:rFonts w:ascii="宋体" w:eastAsia="宋体" w:hAnsi="宋体" w:cs="Arial"/>
          <w:color w:val="000000"/>
          <w:kern w:val="0"/>
          <w:sz w:val="24"/>
          <w:szCs w:val="24"/>
        </w:rPr>
        <w:t>设备故障停机不仅影响诊疗秩序，更会延长平均住院日、增加病组隐性成本。DRG/DIP 时代，设备运维从 “故障后维修” 转向 “预防性维护（PM）”，依托物联网技术实时监测设备运行状态、损耗情况，基于大数据预测故障风险，定期开展保养、校准。同时优化维保策略，通过打包维保、第三方维保降低运维成本，保障设备稳定运行。</w:t>
      </w:r>
    </w:p>
    <w:p w:rsidR="00377D80" w:rsidRPr="00377D80" w:rsidRDefault="00377D80" w:rsidP="00377D80">
      <w:pPr>
        <w:widowControl/>
        <w:numPr>
          <w:ilvl w:val="0"/>
          <w:numId w:val="3"/>
        </w:numPr>
        <w:spacing w:afterLines="50" w:after="156" w:line="360" w:lineRule="auto"/>
        <w:ind w:left="0" w:firstLineChars="200" w:firstLine="482"/>
        <w:jc w:val="left"/>
        <w:rPr>
          <w:rFonts w:ascii="宋体" w:eastAsia="宋体" w:hAnsi="宋体" w:cs="Arial"/>
          <w:color w:val="000000"/>
          <w:kern w:val="0"/>
          <w:sz w:val="24"/>
          <w:szCs w:val="24"/>
        </w:rPr>
      </w:pPr>
      <w:r w:rsidRPr="00377D80">
        <w:rPr>
          <w:rFonts w:ascii="宋体" w:eastAsia="宋体" w:hAnsi="宋体" w:cs="Arial"/>
          <w:b/>
          <w:bCs/>
          <w:color w:val="000000"/>
          <w:kern w:val="0"/>
          <w:sz w:val="24"/>
          <w:szCs w:val="24"/>
        </w:rPr>
        <w:t>使用效率提升：强化绩效考核与临床协同</w:t>
      </w:r>
    </w:p>
    <w:p w:rsidR="00377D80" w:rsidRPr="00377D80" w:rsidRDefault="00377D80" w:rsidP="00377D80">
      <w:pPr>
        <w:widowControl/>
        <w:spacing w:afterLines="50" w:after="156" w:line="360" w:lineRule="auto"/>
        <w:ind w:firstLineChars="200" w:firstLine="480"/>
        <w:jc w:val="left"/>
        <w:rPr>
          <w:rFonts w:ascii="宋体" w:eastAsia="宋体" w:hAnsi="宋体" w:cs="Arial"/>
          <w:color w:val="000000"/>
          <w:kern w:val="0"/>
          <w:sz w:val="24"/>
          <w:szCs w:val="24"/>
        </w:rPr>
      </w:pPr>
      <w:r w:rsidRPr="00377D80">
        <w:rPr>
          <w:rFonts w:ascii="宋体" w:eastAsia="宋体" w:hAnsi="宋体" w:cs="Arial"/>
          <w:color w:val="000000"/>
          <w:kern w:val="0"/>
          <w:sz w:val="24"/>
          <w:szCs w:val="24"/>
        </w:rPr>
        <w:lastRenderedPageBreak/>
        <w:t>将设备利用率、单机效益、耗材占比、成本控制率纳入科室与个人绩效考核，与 DRG/DIP 结余留用资金直接挂钩。推动临床科室规范设备使用、优化诊疗流程、减少不必要检查与耗材消耗，在保障医疗质量的前提下，提升设备使用效率、降低单位病例成本。</w:t>
      </w:r>
    </w:p>
    <w:p w:rsidR="00377D80" w:rsidRPr="00377D80" w:rsidRDefault="00377D80" w:rsidP="00377D80">
      <w:pPr>
        <w:widowControl/>
        <w:spacing w:afterLines="50" w:after="156" w:line="360" w:lineRule="auto"/>
        <w:ind w:firstLineChars="200" w:firstLine="482"/>
        <w:jc w:val="left"/>
        <w:outlineLvl w:val="2"/>
        <w:rPr>
          <w:rFonts w:ascii="宋体" w:eastAsia="宋体" w:hAnsi="宋体" w:cs="Arial"/>
          <w:b/>
          <w:color w:val="000000"/>
          <w:kern w:val="0"/>
          <w:sz w:val="24"/>
          <w:szCs w:val="24"/>
        </w:rPr>
      </w:pPr>
      <w:r w:rsidRPr="00377D80">
        <w:rPr>
          <w:rFonts w:ascii="宋体" w:eastAsia="宋体" w:hAnsi="宋体" w:cs="Arial"/>
          <w:b/>
          <w:color w:val="000000"/>
          <w:kern w:val="0"/>
          <w:sz w:val="24"/>
          <w:szCs w:val="24"/>
        </w:rPr>
        <w:t>价值评估重塑：医疗质量、成本效益与合规性三位一体</w:t>
      </w:r>
    </w:p>
    <w:p w:rsidR="00377D80" w:rsidRPr="00377D80" w:rsidRDefault="00377D80" w:rsidP="00377D80">
      <w:pPr>
        <w:widowControl/>
        <w:spacing w:afterLines="50" w:after="156" w:line="360" w:lineRule="auto"/>
        <w:ind w:firstLineChars="200" w:firstLine="480"/>
        <w:jc w:val="left"/>
        <w:rPr>
          <w:rFonts w:ascii="宋体" w:eastAsia="宋体" w:hAnsi="宋体" w:cs="Arial"/>
          <w:color w:val="000000"/>
          <w:kern w:val="0"/>
          <w:sz w:val="24"/>
          <w:szCs w:val="24"/>
        </w:rPr>
      </w:pPr>
      <w:r w:rsidRPr="00377D80">
        <w:rPr>
          <w:rFonts w:ascii="宋体" w:eastAsia="宋体" w:hAnsi="宋体" w:cs="Arial"/>
          <w:color w:val="000000"/>
          <w:kern w:val="0"/>
          <w:sz w:val="24"/>
          <w:szCs w:val="24"/>
        </w:rPr>
        <w:t>DRG/DIP 改革下，设备管理价值不再以 “设备数量、技术等级、收入规模” 衡量，而是形成</w:t>
      </w:r>
      <w:r w:rsidRPr="00377D80">
        <w:rPr>
          <w:rFonts w:ascii="宋体" w:eastAsia="宋体" w:hAnsi="宋体" w:cs="Arial"/>
          <w:b/>
          <w:bCs/>
          <w:color w:val="000000"/>
          <w:kern w:val="0"/>
          <w:sz w:val="24"/>
          <w:szCs w:val="24"/>
        </w:rPr>
        <w:t>医疗质量、成本效益、合规运营</w:t>
      </w:r>
      <w:r w:rsidRPr="00377D80">
        <w:rPr>
          <w:rFonts w:ascii="宋体" w:eastAsia="宋体" w:hAnsi="宋体" w:cs="Arial"/>
          <w:color w:val="000000"/>
          <w:kern w:val="0"/>
          <w:sz w:val="24"/>
          <w:szCs w:val="24"/>
        </w:rPr>
        <w:t>三位一体的评估体系。</w:t>
      </w:r>
    </w:p>
    <w:p w:rsidR="00377D80" w:rsidRPr="00377D80" w:rsidRDefault="00377D80" w:rsidP="00377D80">
      <w:pPr>
        <w:widowControl/>
        <w:numPr>
          <w:ilvl w:val="0"/>
          <w:numId w:val="4"/>
        </w:numPr>
        <w:spacing w:afterLines="50" w:after="156" w:line="360" w:lineRule="auto"/>
        <w:ind w:left="0" w:firstLineChars="200" w:firstLine="482"/>
        <w:jc w:val="left"/>
        <w:rPr>
          <w:rFonts w:ascii="宋体" w:eastAsia="宋体" w:hAnsi="宋体" w:cs="Arial"/>
          <w:color w:val="000000"/>
          <w:kern w:val="0"/>
          <w:sz w:val="24"/>
          <w:szCs w:val="24"/>
        </w:rPr>
      </w:pPr>
      <w:r w:rsidRPr="00377D80">
        <w:rPr>
          <w:rFonts w:ascii="宋体" w:eastAsia="宋体" w:hAnsi="宋体" w:cs="Arial"/>
          <w:b/>
          <w:bCs/>
          <w:color w:val="000000"/>
          <w:kern w:val="0"/>
          <w:sz w:val="24"/>
          <w:szCs w:val="24"/>
        </w:rPr>
        <w:t>质量与安全优先</w:t>
      </w:r>
      <w:r w:rsidRPr="00377D80">
        <w:rPr>
          <w:rFonts w:ascii="宋体" w:eastAsia="宋体" w:hAnsi="宋体" w:cs="Arial"/>
          <w:color w:val="000000"/>
          <w:kern w:val="0"/>
          <w:sz w:val="24"/>
          <w:szCs w:val="24"/>
        </w:rPr>
        <w:t>：设备性能、精度、稳定性直接影响诊疗质量与 DRG/DIP 病组安全指标（如低风险死亡率、手术并发症发生率、31 日再住院率），设备管理必须以保障质量安全为底线，杜绝因设备问题导致的医疗风险与成本超支。</w:t>
      </w:r>
    </w:p>
    <w:p w:rsidR="00377D80" w:rsidRPr="00377D80" w:rsidRDefault="00377D80" w:rsidP="00377D80">
      <w:pPr>
        <w:widowControl/>
        <w:numPr>
          <w:ilvl w:val="0"/>
          <w:numId w:val="4"/>
        </w:numPr>
        <w:spacing w:afterLines="50" w:after="156" w:line="360" w:lineRule="auto"/>
        <w:ind w:left="0" w:firstLineChars="200" w:firstLine="482"/>
        <w:jc w:val="left"/>
        <w:rPr>
          <w:rFonts w:ascii="宋体" w:eastAsia="宋体" w:hAnsi="宋体" w:cs="Arial"/>
          <w:color w:val="000000"/>
          <w:kern w:val="0"/>
          <w:sz w:val="24"/>
          <w:szCs w:val="24"/>
        </w:rPr>
      </w:pPr>
      <w:r w:rsidRPr="00377D80">
        <w:rPr>
          <w:rFonts w:ascii="宋体" w:eastAsia="宋体" w:hAnsi="宋体" w:cs="Arial"/>
          <w:b/>
          <w:bCs/>
          <w:color w:val="000000"/>
          <w:kern w:val="0"/>
          <w:sz w:val="24"/>
          <w:szCs w:val="24"/>
        </w:rPr>
        <w:t>成本效益为核心</w:t>
      </w:r>
      <w:r w:rsidRPr="00377D80">
        <w:rPr>
          <w:rFonts w:ascii="宋体" w:eastAsia="宋体" w:hAnsi="宋体" w:cs="Arial"/>
          <w:color w:val="000000"/>
          <w:kern w:val="0"/>
          <w:sz w:val="24"/>
          <w:szCs w:val="24"/>
        </w:rPr>
        <w:t>：核心评估设备对病组成本控制、结余留存的贡献度，优先保障 “低成本、高适配、高效益” 设备运行，对效益低下、成本超支的设备及时优化或淘汰。</w:t>
      </w:r>
    </w:p>
    <w:p w:rsidR="00377D80" w:rsidRPr="00377D80" w:rsidRDefault="00377D80" w:rsidP="00377D80">
      <w:pPr>
        <w:widowControl/>
        <w:numPr>
          <w:ilvl w:val="0"/>
          <w:numId w:val="4"/>
        </w:numPr>
        <w:spacing w:afterLines="50" w:after="156" w:line="360" w:lineRule="auto"/>
        <w:ind w:left="0" w:firstLineChars="200" w:firstLine="482"/>
        <w:jc w:val="left"/>
        <w:rPr>
          <w:rFonts w:ascii="宋体" w:eastAsia="宋体" w:hAnsi="宋体" w:cs="Arial"/>
          <w:color w:val="000000"/>
          <w:kern w:val="0"/>
          <w:sz w:val="24"/>
          <w:szCs w:val="24"/>
        </w:rPr>
      </w:pPr>
      <w:r w:rsidRPr="00377D80">
        <w:rPr>
          <w:rFonts w:ascii="宋体" w:eastAsia="宋体" w:hAnsi="宋体" w:cs="Arial"/>
          <w:b/>
          <w:bCs/>
          <w:color w:val="000000"/>
          <w:kern w:val="0"/>
          <w:sz w:val="24"/>
          <w:szCs w:val="24"/>
        </w:rPr>
        <w:t>合规运营为底线</w:t>
      </w:r>
      <w:r w:rsidRPr="00377D80">
        <w:rPr>
          <w:rFonts w:ascii="宋体" w:eastAsia="宋体" w:hAnsi="宋体" w:cs="Arial"/>
          <w:color w:val="000000"/>
          <w:kern w:val="0"/>
          <w:sz w:val="24"/>
          <w:szCs w:val="24"/>
        </w:rPr>
        <w:t>：严格遵守医保监管、国密合规、数据安全、医疗设备管理相关规定，设备使用、耗材消耗、成本核算全程可追溯、可审计，满足等保、密评及医疗行业数据安全要求。</w:t>
      </w:r>
    </w:p>
    <w:p w:rsidR="00377D80" w:rsidRPr="00377D80" w:rsidRDefault="00377D80" w:rsidP="00377D80">
      <w:pPr>
        <w:widowControl/>
        <w:spacing w:afterLines="50" w:after="156" w:line="360" w:lineRule="auto"/>
        <w:ind w:firstLineChars="200" w:firstLine="482"/>
        <w:jc w:val="left"/>
        <w:outlineLvl w:val="2"/>
        <w:rPr>
          <w:rFonts w:ascii="宋体" w:eastAsia="宋体" w:hAnsi="宋体" w:cs="Arial"/>
          <w:b/>
          <w:color w:val="000000"/>
          <w:kern w:val="0"/>
          <w:sz w:val="24"/>
          <w:szCs w:val="24"/>
        </w:rPr>
      </w:pPr>
      <w:r w:rsidRPr="00377D80">
        <w:rPr>
          <w:rFonts w:ascii="宋体" w:eastAsia="宋体" w:hAnsi="宋体" w:cs="Arial"/>
          <w:b/>
          <w:color w:val="000000"/>
          <w:kern w:val="0"/>
          <w:sz w:val="24"/>
          <w:szCs w:val="24"/>
        </w:rPr>
        <w:t>惠泽智信：以数字化方案赋能DRG/DIP 时代设备管理升级</w:t>
      </w:r>
    </w:p>
    <w:p w:rsidR="00377D80" w:rsidRPr="00377D80" w:rsidRDefault="00377D80" w:rsidP="00377D80">
      <w:pPr>
        <w:widowControl/>
        <w:spacing w:afterLines="50" w:after="156" w:line="360" w:lineRule="auto"/>
        <w:ind w:firstLineChars="200" w:firstLine="480"/>
        <w:jc w:val="left"/>
        <w:rPr>
          <w:rFonts w:ascii="宋体" w:eastAsia="宋体" w:hAnsi="宋体" w:cs="Arial"/>
          <w:color w:val="000000"/>
          <w:kern w:val="0"/>
          <w:sz w:val="24"/>
          <w:szCs w:val="24"/>
        </w:rPr>
      </w:pPr>
      <w:r w:rsidRPr="00377D80">
        <w:rPr>
          <w:rFonts w:ascii="宋体" w:eastAsia="宋体" w:hAnsi="宋体" w:cs="Arial"/>
          <w:color w:val="000000"/>
          <w:kern w:val="0"/>
          <w:sz w:val="24"/>
          <w:szCs w:val="24"/>
        </w:rPr>
        <w:t>面对 DRG/DIP 支付改革带来的深远变革，惠泽智信深耕医疗设备与数据安全领域，依托</w:t>
      </w:r>
      <w:r w:rsidRPr="00377D80">
        <w:rPr>
          <w:rFonts w:ascii="宋体" w:eastAsia="宋体" w:hAnsi="宋体" w:cs="Arial"/>
          <w:b/>
          <w:bCs/>
          <w:color w:val="000000"/>
          <w:kern w:val="0"/>
          <w:sz w:val="24"/>
          <w:szCs w:val="24"/>
        </w:rPr>
        <w:t>国密合规、信创兼容、全链路数字化</w:t>
      </w:r>
      <w:r w:rsidRPr="00377D80">
        <w:rPr>
          <w:rFonts w:ascii="宋体" w:eastAsia="宋体" w:hAnsi="宋体" w:cs="Arial"/>
          <w:color w:val="000000"/>
          <w:kern w:val="0"/>
          <w:sz w:val="24"/>
          <w:szCs w:val="24"/>
        </w:rPr>
        <w:t>技术能力，为医疗机构提供覆盖设备全生命周期的智能化管理解决方案。</w:t>
      </w:r>
    </w:p>
    <w:p w:rsidR="00377D80" w:rsidRPr="00377D80" w:rsidRDefault="00377D80" w:rsidP="00377D80">
      <w:pPr>
        <w:widowControl/>
        <w:spacing w:afterLines="50" w:after="156" w:line="360" w:lineRule="auto"/>
        <w:ind w:firstLineChars="200" w:firstLine="480"/>
        <w:jc w:val="left"/>
        <w:rPr>
          <w:rFonts w:ascii="宋体" w:eastAsia="宋体" w:hAnsi="宋体" w:cs="Arial"/>
          <w:color w:val="000000"/>
          <w:kern w:val="0"/>
          <w:sz w:val="24"/>
          <w:szCs w:val="24"/>
        </w:rPr>
      </w:pPr>
      <w:r w:rsidRPr="00377D80">
        <w:rPr>
          <w:rFonts w:ascii="宋体" w:eastAsia="宋体" w:hAnsi="宋体" w:cs="Arial"/>
          <w:color w:val="000000"/>
          <w:kern w:val="0"/>
          <w:sz w:val="24"/>
          <w:szCs w:val="24"/>
        </w:rPr>
        <w:t>方案核心优势：</w:t>
      </w:r>
    </w:p>
    <w:p w:rsidR="00377D80" w:rsidRPr="00377D80" w:rsidRDefault="00377D80" w:rsidP="00377D80">
      <w:pPr>
        <w:widowControl/>
        <w:numPr>
          <w:ilvl w:val="0"/>
          <w:numId w:val="5"/>
        </w:numPr>
        <w:spacing w:afterLines="50" w:after="156" w:line="360" w:lineRule="auto"/>
        <w:ind w:left="0" w:firstLineChars="200" w:firstLine="482"/>
        <w:jc w:val="left"/>
        <w:rPr>
          <w:rFonts w:ascii="宋体" w:eastAsia="宋体" w:hAnsi="宋体" w:cs="Arial"/>
          <w:color w:val="000000"/>
          <w:kern w:val="0"/>
          <w:sz w:val="24"/>
          <w:szCs w:val="24"/>
        </w:rPr>
      </w:pPr>
      <w:r w:rsidRPr="00377D80">
        <w:rPr>
          <w:rFonts w:ascii="宋体" w:eastAsia="宋体" w:hAnsi="宋体" w:cs="Arial"/>
          <w:b/>
          <w:bCs/>
          <w:color w:val="000000"/>
          <w:kern w:val="0"/>
          <w:sz w:val="24"/>
          <w:szCs w:val="24"/>
        </w:rPr>
        <w:t>全生命周期成本管控</w:t>
      </w:r>
      <w:r w:rsidRPr="00377D80">
        <w:rPr>
          <w:rFonts w:ascii="宋体" w:eastAsia="宋体" w:hAnsi="宋体" w:cs="Arial"/>
          <w:color w:val="000000"/>
          <w:kern w:val="0"/>
          <w:sz w:val="24"/>
          <w:szCs w:val="24"/>
        </w:rPr>
        <w:t>：覆盖设备采购、入库、使用、运维、折旧、报废全流程，精准核算单设备、单病种成本，动态监测超支预警，助力医院实现成本精细化管控。</w:t>
      </w:r>
    </w:p>
    <w:p w:rsidR="00377D80" w:rsidRPr="00377D80" w:rsidRDefault="00377D80" w:rsidP="00377D80">
      <w:pPr>
        <w:widowControl/>
        <w:numPr>
          <w:ilvl w:val="0"/>
          <w:numId w:val="5"/>
        </w:numPr>
        <w:spacing w:afterLines="50" w:after="156" w:line="360" w:lineRule="auto"/>
        <w:ind w:left="0" w:firstLineChars="200" w:firstLine="482"/>
        <w:jc w:val="left"/>
        <w:rPr>
          <w:rFonts w:ascii="宋体" w:eastAsia="宋体" w:hAnsi="宋体" w:cs="Arial"/>
          <w:color w:val="000000"/>
          <w:kern w:val="0"/>
          <w:sz w:val="24"/>
          <w:szCs w:val="24"/>
        </w:rPr>
      </w:pPr>
      <w:r w:rsidRPr="00377D80">
        <w:rPr>
          <w:rFonts w:ascii="宋体" w:eastAsia="宋体" w:hAnsi="宋体" w:cs="Arial"/>
          <w:b/>
          <w:bCs/>
          <w:color w:val="000000"/>
          <w:kern w:val="0"/>
          <w:sz w:val="24"/>
          <w:szCs w:val="24"/>
        </w:rPr>
        <w:lastRenderedPageBreak/>
        <w:t>国密级数据安全保障</w:t>
      </w:r>
      <w:r w:rsidRPr="00377D80">
        <w:rPr>
          <w:rFonts w:ascii="宋体" w:eastAsia="宋体" w:hAnsi="宋体" w:cs="Arial"/>
          <w:color w:val="000000"/>
          <w:kern w:val="0"/>
          <w:sz w:val="24"/>
          <w:szCs w:val="24"/>
        </w:rPr>
        <w:t>：依托 KMS 密钥管理体系，采用 SM4 国密算法实现设备数据、成本数据、诊疗数据加密存储，密钥集中管控、操作全程溯源，全面符合等保、国密及医疗行业数据安全标准。</w:t>
      </w:r>
    </w:p>
    <w:p w:rsidR="00377D80" w:rsidRPr="00377D80" w:rsidRDefault="00377D80" w:rsidP="00377D80">
      <w:pPr>
        <w:widowControl/>
        <w:numPr>
          <w:ilvl w:val="0"/>
          <w:numId w:val="5"/>
        </w:numPr>
        <w:spacing w:afterLines="50" w:after="156" w:line="360" w:lineRule="auto"/>
        <w:ind w:left="0" w:firstLineChars="200" w:firstLine="482"/>
        <w:jc w:val="left"/>
        <w:rPr>
          <w:rFonts w:ascii="宋体" w:eastAsia="宋体" w:hAnsi="宋体" w:cs="Arial"/>
          <w:color w:val="000000"/>
          <w:kern w:val="0"/>
          <w:sz w:val="24"/>
          <w:szCs w:val="24"/>
        </w:rPr>
      </w:pPr>
      <w:r w:rsidRPr="00377D80">
        <w:rPr>
          <w:rFonts w:ascii="宋体" w:eastAsia="宋体" w:hAnsi="宋体" w:cs="Arial"/>
          <w:b/>
          <w:bCs/>
          <w:color w:val="000000"/>
          <w:kern w:val="0"/>
          <w:sz w:val="24"/>
          <w:szCs w:val="24"/>
        </w:rPr>
        <w:t>信创与传统环境双兼容</w:t>
      </w:r>
      <w:r w:rsidRPr="00377D80">
        <w:rPr>
          <w:rFonts w:ascii="宋体" w:eastAsia="宋体" w:hAnsi="宋体" w:cs="Arial"/>
          <w:color w:val="000000"/>
          <w:kern w:val="0"/>
          <w:sz w:val="24"/>
          <w:szCs w:val="24"/>
        </w:rPr>
        <w:t>：深度适配全栈信创生态，同时兼容传统软硬件环境，保障系统在多元部署场景下稳定运行，支撑医院不同阶段信息化建设与项目平稳落地。</w:t>
      </w:r>
    </w:p>
    <w:p w:rsidR="00377D80" w:rsidRPr="00377D80" w:rsidRDefault="00377D80" w:rsidP="00377D80">
      <w:pPr>
        <w:widowControl/>
        <w:numPr>
          <w:ilvl w:val="0"/>
          <w:numId w:val="5"/>
        </w:numPr>
        <w:spacing w:afterLines="50" w:after="156" w:line="360" w:lineRule="auto"/>
        <w:ind w:left="0" w:firstLineChars="200" w:firstLine="482"/>
        <w:jc w:val="left"/>
        <w:rPr>
          <w:rFonts w:ascii="宋体" w:eastAsia="宋体" w:hAnsi="宋体" w:cs="Arial"/>
          <w:color w:val="000000"/>
          <w:kern w:val="0"/>
          <w:sz w:val="24"/>
          <w:szCs w:val="24"/>
        </w:rPr>
      </w:pPr>
      <w:r w:rsidRPr="00377D80">
        <w:rPr>
          <w:rFonts w:ascii="宋体" w:eastAsia="宋体" w:hAnsi="宋体" w:cs="Arial"/>
          <w:b/>
          <w:bCs/>
          <w:color w:val="000000"/>
          <w:kern w:val="0"/>
          <w:sz w:val="24"/>
          <w:szCs w:val="24"/>
        </w:rPr>
        <w:t>智能耗材闭环管理</w:t>
      </w:r>
      <w:r w:rsidRPr="00377D80">
        <w:rPr>
          <w:rFonts w:ascii="宋体" w:eastAsia="宋体" w:hAnsi="宋体" w:cs="Arial"/>
          <w:color w:val="000000"/>
          <w:kern w:val="0"/>
          <w:sz w:val="24"/>
          <w:szCs w:val="24"/>
        </w:rPr>
        <w:t>：融合 RFID、物联网技术，实现高值耗材全流程追溯、智能申领、效期预警、精准归因，有效降低耗材损耗与成本流失。</w:t>
      </w:r>
    </w:p>
    <w:p w:rsidR="00377D80" w:rsidRPr="00377D80" w:rsidRDefault="00377D80" w:rsidP="00377D80">
      <w:pPr>
        <w:widowControl/>
        <w:numPr>
          <w:ilvl w:val="0"/>
          <w:numId w:val="5"/>
        </w:numPr>
        <w:spacing w:afterLines="50" w:after="156" w:line="360" w:lineRule="auto"/>
        <w:ind w:left="0" w:firstLineChars="200" w:firstLine="482"/>
        <w:jc w:val="left"/>
        <w:rPr>
          <w:rFonts w:ascii="宋体" w:eastAsia="宋体" w:hAnsi="宋体" w:cs="Arial"/>
          <w:color w:val="000000"/>
          <w:kern w:val="0"/>
          <w:sz w:val="24"/>
          <w:szCs w:val="24"/>
        </w:rPr>
      </w:pPr>
      <w:r w:rsidRPr="00377D80">
        <w:rPr>
          <w:rFonts w:ascii="宋体" w:eastAsia="宋体" w:hAnsi="宋体" w:cs="Arial"/>
          <w:b/>
          <w:bCs/>
          <w:color w:val="000000"/>
          <w:kern w:val="0"/>
          <w:sz w:val="24"/>
          <w:szCs w:val="24"/>
        </w:rPr>
        <w:t>数据驱动决策支持</w:t>
      </w:r>
      <w:r w:rsidRPr="00377D80">
        <w:rPr>
          <w:rFonts w:ascii="宋体" w:eastAsia="宋体" w:hAnsi="宋体" w:cs="Arial"/>
          <w:color w:val="000000"/>
          <w:kern w:val="0"/>
          <w:sz w:val="24"/>
          <w:szCs w:val="24"/>
        </w:rPr>
        <w:t>：整合设备运行、成本核算、DRG/DIP 病组数据，通过大数据分析生成多维度报表，为设备采购、配置优化、绩效考核提供科学依据。</w:t>
      </w:r>
    </w:p>
    <w:p w:rsidR="00377D80" w:rsidRPr="00377D80" w:rsidRDefault="00377D80" w:rsidP="00377D80">
      <w:pPr>
        <w:widowControl/>
        <w:spacing w:afterLines="50" w:after="156" w:line="360" w:lineRule="auto"/>
        <w:ind w:firstLineChars="200" w:firstLine="480"/>
        <w:jc w:val="left"/>
        <w:rPr>
          <w:rFonts w:ascii="宋体" w:eastAsia="宋体" w:hAnsi="宋体" w:cs="Arial"/>
          <w:color w:val="000000"/>
          <w:kern w:val="0"/>
          <w:sz w:val="24"/>
          <w:szCs w:val="24"/>
        </w:rPr>
      </w:pPr>
      <w:r w:rsidRPr="00377D80">
        <w:rPr>
          <w:rFonts w:ascii="宋体" w:eastAsia="宋体" w:hAnsi="宋体" w:cs="Arial"/>
          <w:color w:val="000000"/>
          <w:kern w:val="0"/>
          <w:sz w:val="24"/>
          <w:szCs w:val="24"/>
        </w:rPr>
        <w:t>DRG/DIP 支付改革是我国医疗保障体系的深刻变革，更是医疗设备管理模式的全新起点。从粗放扩张到精细管控，从规模导向到价值优先，从分散管理到数字协同，设备管理的每一次升级，都直接关系医院在改革浪潮中的核心竞争力。</w:t>
      </w:r>
    </w:p>
    <w:p w:rsidR="00377D80" w:rsidRPr="00377D80" w:rsidRDefault="00377D80" w:rsidP="00377D80">
      <w:pPr>
        <w:widowControl/>
        <w:spacing w:afterLines="50" w:after="156" w:line="360" w:lineRule="auto"/>
        <w:ind w:firstLineChars="200" w:firstLine="480"/>
        <w:jc w:val="left"/>
        <w:rPr>
          <w:rFonts w:ascii="宋体" w:eastAsia="宋体" w:hAnsi="宋体" w:cs="Arial"/>
          <w:color w:val="000000"/>
          <w:kern w:val="0"/>
          <w:sz w:val="24"/>
          <w:szCs w:val="24"/>
        </w:rPr>
      </w:pPr>
      <w:r w:rsidRPr="00377D80">
        <w:rPr>
          <w:rFonts w:ascii="宋体" w:eastAsia="宋体" w:hAnsi="宋体" w:cs="Arial"/>
          <w:color w:val="000000"/>
          <w:kern w:val="0"/>
          <w:sz w:val="24"/>
          <w:szCs w:val="24"/>
        </w:rPr>
        <w:t>惠泽智信将持续深耕医疗设备数字化与安全合规领域，以技术创新赋能医疗机构适应</w:t>
      </w:r>
      <w:r>
        <w:rPr>
          <w:rFonts w:ascii="宋体" w:eastAsia="宋体" w:hAnsi="宋体" w:cs="Arial"/>
          <w:color w:val="000000"/>
          <w:kern w:val="0"/>
          <w:sz w:val="24"/>
          <w:szCs w:val="24"/>
        </w:rPr>
        <w:t>DRG/DIP</w:t>
      </w:r>
      <w:r w:rsidRPr="00377D80">
        <w:rPr>
          <w:rFonts w:ascii="宋体" w:eastAsia="宋体" w:hAnsi="宋体" w:cs="Arial"/>
          <w:color w:val="000000"/>
          <w:kern w:val="0"/>
          <w:sz w:val="24"/>
          <w:szCs w:val="24"/>
        </w:rPr>
        <w:t>改革，助力医院实现医疗质量、成本效益、运营效率的协同提升，为推动医疗行业高质量发展、构建高效可持续的医疗保障体系贡献专业力量。</w:t>
      </w:r>
    </w:p>
    <w:p w:rsidR="00377D80" w:rsidRPr="00C376E9" w:rsidRDefault="00377D80" w:rsidP="00377D80">
      <w:pPr>
        <w:rPr>
          <w:rFonts w:ascii="宋体" w:eastAsia="宋体" w:hAnsi="宋体"/>
          <w:sz w:val="20"/>
        </w:rPr>
      </w:pPr>
      <w:r>
        <w:rPr>
          <w:rFonts w:ascii="宋体" w:eastAsia="宋体" w:hAnsi="宋体" w:hint="eastAsia"/>
          <w:sz w:val="20"/>
        </w:rPr>
        <w:t>（</w:t>
      </w:r>
      <w:r w:rsidRPr="00C376E9">
        <w:rPr>
          <w:rFonts w:ascii="宋体" w:eastAsia="宋体" w:hAnsi="宋体"/>
          <w:sz w:val="20"/>
        </w:rPr>
        <w:t>本文为基于行业公开信息的趋势解读，仅供交流参考。</w:t>
      </w:r>
      <w:r>
        <w:rPr>
          <w:rFonts w:ascii="宋体" w:eastAsia="宋体" w:hAnsi="宋体" w:hint="eastAsia"/>
          <w:sz w:val="20"/>
        </w:rPr>
        <w:t>）</w:t>
      </w:r>
    </w:p>
    <w:p w:rsidR="005D308E" w:rsidRPr="00377D80" w:rsidRDefault="005D308E" w:rsidP="00377D80">
      <w:pPr>
        <w:spacing w:afterLines="50" w:after="156" w:line="360" w:lineRule="auto"/>
        <w:ind w:firstLineChars="200" w:firstLine="420"/>
        <w:rPr>
          <w:rFonts w:ascii="宋体" w:eastAsia="宋体" w:hAnsi="宋体"/>
        </w:rPr>
      </w:pPr>
    </w:p>
    <w:sectPr w:rsidR="005D308E" w:rsidRPr="00377D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3144" w:rsidRDefault="002A3144" w:rsidP="00377D80">
      <w:r>
        <w:separator/>
      </w:r>
    </w:p>
  </w:endnote>
  <w:endnote w:type="continuationSeparator" w:id="0">
    <w:p w:rsidR="002A3144" w:rsidRDefault="002A3144" w:rsidP="00377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3144" w:rsidRDefault="002A3144" w:rsidP="00377D80">
      <w:r>
        <w:separator/>
      </w:r>
    </w:p>
  </w:footnote>
  <w:footnote w:type="continuationSeparator" w:id="0">
    <w:p w:rsidR="002A3144" w:rsidRDefault="002A3144" w:rsidP="00377D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D3396"/>
    <w:multiLevelType w:val="multilevel"/>
    <w:tmpl w:val="9B103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9864C7"/>
    <w:multiLevelType w:val="multilevel"/>
    <w:tmpl w:val="C6F67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AE0B90"/>
    <w:multiLevelType w:val="multilevel"/>
    <w:tmpl w:val="6F0A6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CF74BF"/>
    <w:multiLevelType w:val="multilevel"/>
    <w:tmpl w:val="13502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E735D1"/>
    <w:multiLevelType w:val="multilevel"/>
    <w:tmpl w:val="8236D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E61"/>
    <w:rsid w:val="000E22CC"/>
    <w:rsid w:val="002A3144"/>
    <w:rsid w:val="00377D80"/>
    <w:rsid w:val="003A1D83"/>
    <w:rsid w:val="005D308E"/>
    <w:rsid w:val="00673219"/>
    <w:rsid w:val="00B72AB3"/>
    <w:rsid w:val="00E431B0"/>
    <w:rsid w:val="00E503D7"/>
    <w:rsid w:val="00E54E61"/>
    <w:rsid w:val="00F009C2"/>
    <w:rsid w:val="00F15AED"/>
    <w:rsid w:val="00FF5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A4E40E"/>
  <w15:chartTrackingRefBased/>
  <w15:docId w15:val="{F7506181-F96B-4689-9E07-EBD1DDD8D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377D80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377D80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7D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77D8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77D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77D80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377D80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30">
    <w:name w:val="标题 3 字符"/>
    <w:basedOn w:val="a0"/>
    <w:link w:val="3"/>
    <w:uiPriority w:val="9"/>
    <w:rsid w:val="00377D80"/>
    <w:rPr>
      <w:rFonts w:ascii="宋体" w:eastAsia="宋体" w:hAnsi="宋体" w:cs="宋体"/>
      <w:b/>
      <w:bCs/>
      <w:kern w:val="0"/>
      <w:sz w:val="27"/>
      <w:szCs w:val="27"/>
    </w:rPr>
  </w:style>
  <w:style w:type="character" w:styleId="a7">
    <w:name w:val="Strong"/>
    <w:basedOn w:val="a0"/>
    <w:uiPriority w:val="22"/>
    <w:qFormat/>
    <w:rsid w:val="00377D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25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481</Words>
  <Characters>2745</Characters>
  <Application>Microsoft Office Word</Application>
  <DocSecurity>0</DocSecurity>
  <Lines>22</Lines>
  <Paragraphs>6</Paragraphs>
  <ScaleCrop>false</ScaleCrop>
  <Company/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win</cp:lastModifiedBy>
  <cp:revision>3</cp:revision>
  <dcterms:created xsi:type="dcterms:W3CDTF">2026-04-23T07:56:00Z</dcterms:created>
  <dcterms:modified xsi:type="dcterms:W3CDTF">2026-04-23T08:45:00Z</dcterms:modified>
</cp:coreProperties>
</file>